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9561" w14:textId="77777777" w:rsidR="00781346" w:rsidRDefault="00781346">
      <w:pPr>
        <w:jc w:val="both"/>
        <w:rPr>
          <w:rFonts w:ascii="Arial" w:hAnsi="Arial"/>
        </w:rPr>
      </w:pPr>
    </w:p>
    <w:p w14:paraId="1DCA6F66" w14:textId="77777777" w:rsidR="00781346" w:rsidRPr="00781346" w:rsidRDefault="00781346">
      <w:pPr>
        <w:jc w:val="both"/>
        <w:rPr>
          <w:rFonts w:ascii="Arial" w:hAnsi="Arial"/>
        </w:rPr>
      </w:pPr>
      <w:r w:rsidRPr="00781346">
        <w:rPr>
          <w:rFonts w:ascii="Arial" w:hAnsi="Arial"/>
        </w:rPr>
        <w:t>All of the language changes authorized by Freddie Mac on the authorized change pages provided below are permissible, and some are required, for Mortgages originated using the Fannie Mae/Freddie Mac or Freddie Mac Uniform Instruments when sold to Freddie Mac.</w:t>
      </w:r>
    </w:p>
    <w:p w14:paraId="7A2068A1" w14:textId="77777777" w:rsidR="00781346" w:rsidRDefault="00781346">
      <w:pPr>
        <w:jc w:val="both"/>
        <w:rPr>
          <w:rFonts w:ascii="Arial" w:hAnsi="Arial"/>
        </w:rPr>
      </w:pPr>
    </w:p>
    <w:p w14:paraId="485ADAC1" w14:textId="77777777" w:rsidR="00781346" w:rsidRDefault="00781346">
      <w:pPr>
        <w:jc w:val="both"/>
        <w:rPr>
          <w:rFonts w:ascii="Arial" w:hAnsi="Arial"/>
          <w:b/>
        </w:rPr>
      </w:pPr>
      <w:r>
        <w:rPr>
          <w:rFonts w:ascii="Arial" w:hAnsi="Arial"/>
        </w:rPr>
        <w:t xml:space="preserve">If a particular State does not appear on this list of authorized changes, it is because Freddie Mac does not currently have any state-specific authorized changes for that state.  In addition, the changes set forth on these Authorized Change Pages may not be the only changes required under applicable law or state and local recording requirements with respect to a specific loan originator or loan transaction. </w:t>
      </w:r>
      <w:r>
        <w:rPr>
          <w:rFonts w:ascii="Arial" w:hAnsi="Arial"/>
          <w:b/>
        </w:rPr>
        <w:t>Accordingly, originators should have qualified legal counsel review loan documentation for compliance with applicable law.</w:t>
      </w:r>
    </w:p>
    <w:p w14:paraId="6086F81A" w14:textId="77777777" w:rsidR="00781346" w:rsidRDefault="00781346">
      <w:pPr>
        <w:jc w:val="both"/>
        <w:rPr>
          <w:rFonts w:ascii="Arial" w:hAnsi="Arial"/>
        </w:rPr>
      </w:pPr>
    </w:p>
    <w:p w14:paraId="34E8DD0E" w14:textId="082006E9" w:rsidR="00781346" w:rsidRDefault="00781346">
      <w:pPr>
        <w:jc w:val="both"/>
        <w:rPr>
          <w:rFonts w:ascii="Arial" w:hAnsi="Arial"/>
        </w:rPr>
      </w:pPr>
      <w:r>
        <w:rPr>
          <w:rFonts w:ascii="Arial" w:hAnsi="Arial"/>
        </w:rPr>
        <w:t>The changes authorized by Freddie Mac can also be found in Exhibit 5</w:t>
      </w:r>
      <w:r w:rsidR="007B5EEE">
        <w:rPr>
          <w:rFonts w:ascii="Arial" w:hAnsi="Arial"/>
        </w:rPr>
        <w:t>A</w:t>
      </w:r>
      <w:r>
        <w:rPr>
          <w:rFonts w:ascii="Arial" w:hAnsi="Arial"/>
        </w:rPr>
        <w:t xml:space="preserve"> of the Freddie Mac </w:t>
      </w:r>
      <w:r>
        <w:rPr>
          <w:rFonts w:ascii="Arial" w:hAnsi="Arial"/>
          <w:i/>
        </w:rPr>
        <w:t>Single-Family Seller/Servicer Guide</w:t>
      </w:r>
      <w:r>
        <w:rPr>
          <w:rFonts w:ascii="Arial" w:hAnsi="Arial"/>
        </w:rPr>
        <w:t>.</w:t>
      </w:r>
    </w:p>
    <w:p w14:paraId="6475333B" w14:textId="77777777" w:rsidR="00781346" w:rsidRDefault="00781346">
      <w:pPr>
        <w:jc w:val="both"/>
        <w:rPr>
          <w:rFonts w:ascii="Arial" w:hAnsi="Arial"/>
        </w:rPr>
      </w:pPr>
    </w:p>
    <w:p w14:paraId="7F3B53C5" w14:textId="77777777" w:rsidR="00CD650E" w:rsidRDefault="00CD650E" w:rsidP="00CD650E">
      <w:pPr>
        <w:pStyle w:val="BodyTextIndent3"/>
        <w:tabs>
          <w:tab w:val="clear" w:pos="720"/>
        </w:tabs>
        <w:rPr>
          <w:rStyle w:val="t3401"/>
          <w:rFonts w:ascii="Arial" w:hAnsi="Arial"/>
        </w:rPr>
      </w:pPr>
    </w:p>
    <w:p w14:paraId="650B37C8" w14:textId="4099741B" w:rsidR="00CD650E" w:rsidRDefault="00CD650E" w:rsidP="00CA25E7">
      <w:pPr>
        <w:pStyle w:val="Heading1"/>
        <w:pBdr>
          <w:top w:val="single" w:sz="12" w:space="1" w:color="auto"/>
        </w:pBdr>
        <w:shd w:val="clear" w:color="auto" w:fill="FFFFFF"/>
        <w:spacing w:after="0"/>
        <w:rPr>
          <w:caps/>
        </w:rPr>
      </w:pPr>
      <w:r>
        <w:rPr>
          <w:rStyle w:val="t3401"/>
          <w:caps/>
        </w:rPr>
        <w:t>TExas home equity security instrument, Form 3044.1</w:t>
      </w:r>
    </w:p>
    <w:p w14:paraId="7A67DF40" w14:textId="77777777" w:rsidR="00CD650E" w:rsidRDefault="00CD650E">
      <w:pPr>
        <w:jc w:val="both"/>
        <w:rPr>
          <w:rFonts w:ascii="Arial" w:hAnsi="Arial"/>
        </w:rPr>
      </w:pPr>
    </w:p>
    <w:p w14:paraId="4B00A66A" w14:textId="77777777" w:rsidR="00CA25E7" w:rsidRPr="00CA25E7" w:rsidRDefault="00CA25E7" w:rsidP="00CA25E7">
      <w:pPr>
        <w:pStyle w:val="Heading2"/>
        <w:rPr>
          <w:rFonts w:ascii="Arial" w:hAnsi="Arial" w:cs="Arial"/>
        </w:rPr>
      </w:pPr>
      <w:r w:rsidRPr="00CA25E7">
        <w:rPr>
          <w:rFonts w:ascii="Arial" w:hAnsi="Arial" w:cs="Arial"/>
        </w:rPr>
        <w:t>Witness Signatures</w:t>
      </w:r>
    </w:p>
    <w:p w14:paraId="72FD13C9" w14:textId="77777777" w:rsidR="00CA25E7" w:rsidRPr="001A099B" w:rsidRDefault="00CA25E7" w:rsidP="00CA25E7">
      <w:pPr>
        <w:ind w:left="540"/>
      </w:pPr>
    </w:p>
    <w:p w14:paraId="71ECF9B5" w14:textId="2271DCB6" w:rsidR="00CA25E7" w:rsidRPr="00CA25E7" w:rsidRDefault="00CA25E7" w:rsidP="00CA25E7">
      <w:pPr>
        <w:ind w:left="540"/>
        <w:rPr>
          <w:rFonts w:ascii="Arial" w:hAnsi="Arial" w:cs="Arial"/>
        </w:rPr>
      </w:pPr>
      <w:r>
        <w:rPr>
          <w:rFonts w:ascii="Arial" w:hAnsi="Arial" w:cs="Arial"/>
        </w:rPr>
        <w:t>O</w:t>
      </w:r>
      <w:r w:rsidRPr="00CA25E7">
        <w:rPr>
          <w:rFonts w:ascii="Arial" w:hAnsi="Arial" w:cs="Arial"/>
        </w:rPr>
        <w:t>riginators may remove the word “Witnesses:” and the witness signature lines located at the bottom of the Security Instrument, next to the Borrower signature lines.</w:t>
      </w:r>
    </w:p>
    <w:p w14:paraId="7676EA1F" w14:textId="77777777" w:rsidR="00CA25E7" w:rsidRDefault="00CA25E7">
      <w:pPr>
        <w:jc w:val="both"/>
        <w:rPr>
          <w:rFonts w:ascii="Arial" w:hAnsi="Arial"/>
          <w:b/>
          <w:u w:val="single"/>
        </w:rPr>
      </w:pPr>
    </w:p>
    <w:p w14:paraId="77FCB0BF" w14:textId="144A038D" w:rsidR="00584F5D" w:rsidRDefault="00584F5D">
      <w:pPr>
        <w:jc w:val="both"/>
        <w:rPr>
          <w:rFonts w:ascii="Arial" w:hAnsi="Arial"/>
          <w:b/>
          <w:u w:val="single"/>
        </w:rPr>
      </w:pPr>
      <w:r w:rsidRPr="00584F5D">
        <w:rPr>
          <w:rFonts w:ascii="Arial" w:hAnsi="Arial"/>
          <w:b/>
          <w:u w:val="single"/>
        </w:rPr>
        <w:t xml:space="preserve">Borrower Acknowledgement </w:t>
      </w:r>
    </w:p>
    <w:p w14:paraId="34159715" w14:textId="77777777" w:rsidR="00584F5D" w:rsidRDefault="00584F5D">
      <w:pPr>
        <w:jc w:val="both"/>
        <w:rPr>
          <w:rFonts w:ascii="Arial" w:hAnsi="Arial"/>
          <w:b/>
          <w:u w:val="single"/>
        </w:rPr>
      </w:pPr>
    </w:p>
    <w:p w14:paraId="3B51D8AC" w14:textId="77777777" w:rsidR="00584F5D" w:rsidRPr="00584F5D" w:rsidRDefault="00584F5D" w:rsidP="00CA25E7">
      <w:pPr>
        <w:ind w:left="540"/>
        <w:rPr>
          <w:rFonts w:ascii="Arial" w:hAnsi="Arial" w:cs="Arial"/>
        </w:rPr>
      </w:pPr>
      <w:r w:rsidRPr="00584F5D">
        <w:rPr>
          <w:rFonts w:ascii="Arial" w:hAnsi="Arial" w:cs="Arial"/>
        </w:rPr>
        <w:t>Originators may include a borrower acknowledgement to specify where the borrower signed the note and security instrument, check boxes are permissible. Originators may include this information in the security instrument, or may capture this information in another document. An example is provided below if Originators wish to add this information to the security instrument.</w:t>
      </w:r>
    </w:p>
    <w:p w14:paraId="4DF2025E" w14:textId="77777777" w:rsidR="00584F5D" w:rsidRPr="00584F5D" w:rsidRDefault="00584F5D" w:rsidP="00CA25E7">
      <w:pPr>
        <w:ind w:left="540"/>
        <w:rPr>
          <w:rFonts w:ascii="Arial" w:hAnsi="Arial" w:cs="Arial"/>
        </w:rPr>
      </w:pPr>
    </w:p>
    <w:p w14:paraId="5851BFB7" w14:textId="420B360A" w:rsidR="00584F5D" w:rsidRPr="00584F5D" w:rsidRDefault="00584F5D" w:rsidP="00CA25E7">
      <w:pPr>
        <w:pStyle w:val="BodyText"/>
        <w:keepNext/>
        <w:ind w:left="540"/>
        <w:rPr>
          <w:rFonts w:ascii="Arial" w:hAnsi="Arial" w:cs="Arial"/>
          <w:szCs w:val="24"/>
          <w:u w:val="single"/>
        </w:rPr>
      </w:pPr>
      <w:r w:rsidRPr="00584F5D">
        <w:rPr>
          <w:rFonts w:ascii="Arial" w:hAnsi="Arial" w:cs="Arial"/>
        </w:rPr>
        <w:tab/>
      </w:r>
      <w:r w:rsidRPr="00584F5D">
        <w:rPr>
          <w:rFonts w:ascii="Arial" w:hAnsi="Arial" w:cs="Arial"/>
          <w:spacing w:val="-8"/>
        </w:rPr>
        <w:t xml:space="preserve">BY SIGNING BELOW, Borrower accepts and agrees to the terms and covenants contained in this Security Instrument and in any Rider </w:t>
      </w:r>
      <w:r w:rsidR="002306F7">
        <w:rPr>
          <w:rFonts w:ascii="Arial" w:hAnsi="Arial" w:cs="Arial"/>
          <w:spacing w:val="-8"/>
        </w:rPr>
        <w:t>signed</w:t>
      </w:r>
      <w:r w:rsidR="002306F7" w:rsidRPr="00584F5D">
        <w:rPr>
          <w:rFonts w:ascii="Arial" w:hAnsi="Arial" w:cs="Arial"/>
          <w:spacing w:val="-8"/>
        </w:rPr>
        <w:t xml:space="preserve"> </w:t>
      </w:r>
      <w:r w:rsidRPr="00584F5D">
        <w:rPr>
          <w:rFonts w:ascii="Arial" w:hAnsi="Arial" w:cs="Arial"/>
          <w:spacing w:val="-8"/>
        </w:rPr>
        <w:t>by Borrower and recorded with it</w:t>
      </w:r>
      <w:r w:rsidRPr="00584F5D">
        <w:rPr>
          <w:rFonts w:ascii="Arial" w:hAnsi="Arial" w:cs="Arial"/>
          <w:spacing w:val="-8"/>
          <w:szCs w:val="24"/>
        </w:rPr>
        <w:t>, and Borrower acknowledges, represents, and warrants that the Note and this Security Instrument are being signed at the following location (</w:t>
      </w:r>
      <w:r w:rsidRPr="00584F5D">
        <w:rPr>
          <w:rFonts w:ascii="Arial" w:hAnsi="Arial" w:cs="Arial"/>
          <w:szCs w:val="24"/>
          <w:u w:val="single"/>
        </w:rPr>
        <w:t>check the applicable box):</w:t>
      </w:r>
    </w:p>
    <w:p w14:paraId="5334BB14" w14:textId="77777777" w:rsidR="00584F5D" w:rsidRPr="00584F5D" w:rsidRDefault="00584F5D" w:rsidP="00CA25E7">
      <w:pPr>
        <w:pStyle w:val="BodyText"/>
        <w:keepNext/>
        <w:ind w:left="1080"/>
        <w:rPr>
          <w:rFonts w:ascii="Arial" w:hAnsi="Arial" w:cs="Arial"/>
          <w:szCs w:val="24"/>
          <w:u w:val="single"/>
        </w:rPr>
      </w:pPr>
    </w:p>
    <w:p w14:paraId="28F9C1D0" w14:textId="77777777" w:rsidR="00584F5D" w:rsidRPr="00584F5D" w:rsidRDefault="00584F5D" w:rsidP="00CA25E7">
      <w:pPr>
        <w:pStyle w:val="BodyText"/>
        <w:keepNext/>
        <w:tabs>
          <w:tab w:val="left" w:pos="1080"/>
        </w:tabs>
        <w:ind w:left="1080"/>
        <w:rPr>
          <w:rFonts w:ascii="Arial" w:hAnsi="Arial" w:cs="Arial"/>
          <w:szCs w:val="24"/>
        </w:rPr>
      </w:pPr>
      <w:r w:rsidRPr="00584F5D">
        <w:rPr>
          <w:rFonts w:ascii="Arial" w:hAnsi="Arial" w:cs="Arial"/>
          <w:szCs w:val="24"/>
        </w:rPr>
        <w:fldChar w:fldCharType="begin">
          <w:ffData>
            <w:name w:val="Check1"/>
            <w:enabled/>
            <w:calcOnExit w:val="0"/>
            <w:checkBox>
              <w:sizeAuto/>
              <w:default w:val="0"/>
            </w:checkBox>
          </w:ffData>
        </w:fldChar>
      </w:r>
      <w:r w:rsidRPr="00584F5D">
        <w:rPr>
          <w:rFonts w:ascii="Arial" w:hAnsi="Arial" w:cs="Arial"/>
          <w:szCs w:val="24"/>
        </w:rPr>
        <w:instrText xml:space="preserve"> FORMCHECKBOX </w:instrText>
      </w:r>
      <w:r w:rsidR="007B5EEE">
        <w:rPr>
          <w:rFonts w:ascii="Arial" w:hAnsi="Arial" w:cs="Arial"/>
          <w:szCs w:val="24"/>
        </w:rPr>
      </w:r>
      <w:r w:rsidR="007B5EEE">
        <w:rPr>
          <w:rFonts w:ascii="Arial" w:hAnsi="Arial" w:cs="Arial"/>
          <w:szCs w:val="24"/>
        </w:rPr>
        <w:fldChar w:fldCharType="separate"/>
      </w:r>
      <w:r w:rsidRPr="00584F5D">
        <w:rPr>
          <w:rFonts w:ascii="Arial" w:hAnsi="Arial" w:cs="Arial"/>
          <w:szCs w:val="24"/>
        </w:rPr>
        <w:fldChar w:fldCharType="end"/>
      </w:r>
      <w:r w:rsidRPr="00584F5D">
        <w:rPr>
          <w:rFonts w:ascii="Arial" w:hAnsi="Arial" w:cs="Arial"/>
          <w:szCs w:val="24"/>
        </w:rPr>
        <w:tab/>
        <w:t>an office of the Lender;</w:t>
      </w:r>
    </w:p>
    <w:p w14:paraId="108D1059" w14:textId="77777777" w:rsidR="00584F5D" w:rsidRPr="00584F5D" w:rsidRDefault="00584F5D" w:rsidP="00CA25E7">
      <w:pPr>
        <w:pStyle w:val="BodyText"/>
        <w:keepNext/>
        <w:tabs>
          <w:tab w:val="left" w:pos="1080"/>
        </w:tabs>
        <w:ind w:left="1080"/>
        <w:rPr>
          <w:rFonts w:ascii="Arial" w:hAnsi="Arial" w:cs="Arial"/>
          <w:szCs w:val="24"/>
        </w:rPr>
      </w:pPr>
      <w:r w:rsidRPr="00584F5D">
        <w:rPr>
          <w:rFonts w:ascii="Arial" w:hAnsi="Arial" w:cs="Arial"/>
          <w:szCs w:val="24"/>
        </w:rPr>
        <w:fldChar w:fldCharType="begin">
          <w:ffData>
            <w:name w:val="Check2"/>
            <w:enabled/>
            <w:calcOnExit w:val="0"/>
            <w:checkBox>
              <w:sizeAuto/>
              <w:default w:val="0"/>
            </w:checkBox>
          </w:ffData>
        </w:fldChar>
      </w:r>
      <w:r w:rsidRPr="00584F5D">
        <w:rPr>
          <w:rFonts w:ascii="Arial" w:hAnsi="Arial" w:cs="Arial"/>
          <w:szCs w:val="24"/>
        </w:rPr>
        <w:instrText xml:space="preserve"> FORMCHECKBOX </w:instrText>
      </w:r>
      <w:r w:rsidR="007B5EEE">
        <w:rPr>
          <w:rFonts w:ascii="Arial" w:hAnsi="Arial" w:cs="Arial"/>
          <w:szCs w:val="24"/>
        </w:rPr>
      </w:r>
      <w:r w:rsidR="007B5EEE">
        <w:rPr>
          <w:rFonts w:ascii="Arial" w:hAnsi="Arial" w:cs="Arial"/>
          <w:szCs w:val="24"/>
        </w:rPr>
        <w:fldChar w:fldCharType="separate"/>
      </w:r>
      <w:r w:rsidRPr="00584F5D">
        <w:rPr>
          <w:rFonts w:ascii="Arial" w:hAnsi="Arial" w:cs="Arial"/>
          <w:szCs w:val="24"/>
        </w:rPr>
        <w:fldChar w:fldCharType="end"/>
      </w:r>
      <w:r w:rsidRPr="00584F5D">
        <w:rPr>
          <w:rFonts w:ascii="Arial" w:hAnsi="Arial" w:cs="Arial"/>
          <w:szCs w:val="24"/>
        </w:rPr>
        <w:tab/>
        <w:t>an office of an attorney at law;</w:t>
      </w:r>
      <w:r w:rsidR="00D51129">
        <w:rPr>
          <w:rFonts w:ascii="Arial" w:hAnsi="Arial" w:cs="Arial"/>
          <w:szCs w:val="24"/>
        </w:rPr>
        <w:t xml:space="preserve"> or</w:t>
      </w:r>
    </w:p>
    <w:p w14:paraId="0EB8DA43" w14:textId="2B60CF62" w:rsidR="000742D9" w:rsidRDefault="00584F5D" w:rsidP="00CA25E7">
      <w:pPr>
        <w:pStyle w:val="BodyText"/>
        <w:keepNext/>
        <w:tabs>
          <w:tab w:val="left" w:pos="1080"/>
        </w:tabs>
        <w:ind w:left="1080"/>
        <w:rPr>
          <w:rFonts w:ascii="Arial" w:hAnsi="Arial" w:cs="Arial"/>
          <w:szCs w:val="24"/>
        </w:rPr>
      </w:pPr>
      <w:r w:rsidRPr="00584F5D">
        <w:rPr>
          <w:rFonts w:ascii="Arial" w:hAnsi="Arial" w:cs="Arial"/>
          <w:szCs w:val="24"/>
        </w:rPr>
        <w:fldChar w:fldCharType="begin">
          <w:ffData>
            <w:name w:val="Check3"/>
            <w:enabled/>
            <w:calcOnExit w:val="0"/>
            <w:checkBox>
              <w:sizeAuto/>
              <w:default w:val="0"/>
            </w:checkBox>
          </w:ffData>
        </w:fldChar>
      </w:r>
      <w:r w:rsidRPr="00584F5D">
        <w:rPr>
          <w:rFonts w:ascii="Arial" w:hAnsi="Arial" w:cs="Arial"/>
          <w:szCs w:val="24"/>
        </w:rPr>
        <w:instrText xml:space="preserve"> FORMCHECKBOX </w:instrText>
      </w:r>
      <w:r w:rsidR="007B5EEE">
        <w:rPr>
          <w:rFonts w:ascii="Arial" w:hAnsi="Arial" w:cs="Arial"/>
          <w:szCs w:val="24"/>
        </w:rPr>
      </w:r>
      <w:r w:rsidR="007B5EEE">
        <w:rPr>
          <w:rFonts w:ascii="Arial" w:hAnsi="Arial" w:cs="Arial"/>
          <w:szCs w:val="24"/>
        </w:rPr>
        <w:fldChar w:fldCharType="separate"/>
      </w:r>
      <w:r w:rsidRPr="00584F5D">
        <w:rPr>
          <w:rFonts w:ascii="Arial" w:hAnsi="Arial" w:cs="Arial"/>
          <w:szCs w:val="24"/>
        </w:rPr>
        <w:fldChar w:fldCharType="end"/>
      </w:r>
      <w:r w:rsidRPr="00584F5D">
        <w:rPr>
          <w:rFonts w:ascii="Arial" w:hAnsi="Arial" w:cs="Arial"/>
          <w:szCs w:val="24"/>
        </w:rPr>
        <w:tab/>
        <w:t>an office of a title company</w:t>
      </w:r>
      <w:r w:rsidR="00D51129">
        <w:rPr>
          <w:rFonts w:ascii="Arial" w:hAnsi="Arial" w:cs="Arial"/>
          <w:szCs w:val="24"/>
        </w:rPr>
        <w:t>.</w:t>
      </w:r>
    </w:p>
    <w:p w14:paraId="3C00B612" w14:textId="0255B7B8" w:rsidR="00E107D8" w:rsidRDefault="00E107D8" w:rsidP="00CA25E7">
      <w:pPr>
        <w:pStyle w:val="BodyText"/>
        <w:keepNext/>
        <w:tabs>
          <w:tab w:val="left" w:pos="1080"/>
        </w:tabs>
        <w:ind w:left="540"/>
        <w:rPr>
          <w:rFonts w:ascii="Arial" w:hAnsi="Arial" w:cs="Arial"/>
          <w:szCs w:val="24"/>
        </w:rPr>
      </w:pPr>
    </w:p>
    <w:p w14:paraId="76FEFEF5" w14:textId="77777777" w:rsidR="00E107D8" w:rsidRDefault="00E107D8" w:rsidP="00E107D8">
      <w:pPr>
        <w:tabs>
          <w:tab w:val="left" w:pos="720"/>
        </w:tabs>
        <w:jc w:val="both"/>
        <w:rPr>
          <w:rStyle w:val="t2724"/>
          <w:rFonts w:ascii="Arial" w:hAnsi="Arial"/>
          <w:b/>
          <w:u w:val="single"/>
        </w:rPr>
      </w:pPr>
      <w:r>
        <w:rPr>
          <w:rStyle w:val="t2724"/>
          <w:rFonts w:ascii="Arial" w:hAnsi="Arial"/>
          <w:b/>
          <w:u w:val="single"/>
        </w:rPr>
        <w:t>MERS as Original Mortgagee of Record (“OMR”)</w:t>
      </w:r>
    </w:p>
    <w:p w14:paraId="5F398698" w14:textId="77777777" w:rsidR="00CA25E7" w:rsidRDefault="00CA25E7" w:rsidP="00E107D8">
      <w:pPr>
        <w:tabs>
          <w:tab w:val="left" w:pos="720"/>
        </w:tabs>
        <w:jc w:val="both"/>
        <w:rPr>
          <w:rStyle w:val="t2724"/>
          <w:rFonts w:ascii="Arial" w:hAnsi="Arial"/>
        </w:rPr>
      </w:pPr>
    </w:p>
    <w:p w14:paraId="2F8805E6" w14:textId="625E85A2" w:rsidR="00E107D8" w:rsidRDefault="00E107D8" w:rsidP="00CA25E7">
      <w:pPr>
        <w:tabs>
          <w:tab w:val="left" w:pos="720"/>
        </w:tabs>
        <w:ind w:left="540"/>
        <w:jc w:val="both"/>
        <w:rPr>
          <w:rStyle w:val="t2724"/>
          <w:rFonts w:ascii="Arial" w:hAnsi="Arial"/>
        </w:rPr>
      </w:pPr>
      <w:r>
        <w:rPr>
          <w:rStyle w:val="t2724"/>
          <w:rFonts w:ascii="Arial" w:hAnsi="Arial"/>
        </w:rPr>
        <w:t>Originators must make the following revisions to the paragraphs of the Security Instrument as indicated when a mortgage loan will be registered with Mortgage Electronic Registration Systems, Inc. (“MERS”) and the originators elect to name MERS as OMR, solely as nominee for the Lender named in the Security Instrument and the Note.</w:t>
      </w:r>
    </w:p>
    <w:p w14:paraId="2D75C5E4" w14:textId="1A359094" w:rsidR="00E107D8" w:rsidRDefault="00E107D8" w:rsidP="000742D9">
      <w:pPr>
        <w:pStyle w:val="BodyText"/>
        <w:keepNext/>
        <w:tabs>
          <w:tab w:val="left" w:pos="1080"/>
        </w:tabs>
        <w:ind w:left="720"/>
        <w:rPr>
          <w:rFonts w:ascii="Arial" w:hAnsi="Arial" w:cs="Arial"/>
          <w:szCs w:val="24"/>
        </w:rPr>
      </w:pPr>
    </w:p>
    <w:p w14:paraId="33B9A6DE" w14:textId="076731D1" w:rsidR="00E107D8" w:rsidRDefault="00E107D8" w:rsidP="00CA25E7">
      <w:pPr>
        <w:ind w:left="630"/>
        <w:jc w:val="both"/>
        <w:rPr>
          <w:rStyle w:val="t2724"/>
          <w:rFonts w:ascii="Arial" w:hAnsi="Arial"/>
        </w:rPr>
      </w:pPr>
      <w:r>
        <w:rPr>
          <w:rStyle w:val="t2724"/>
          <w:rFonts w:ascii="Arial" w:hAnsi="Arial"/>
        </w:rPr>
        <w:t>The Texas Home E</w:t>
      </w:r>
      <w:r w:rsidR="00C11C64">
        <w:rPr>
          <w:rStyle w:val="t2724"/>
          <w:rFonts w:ascii="Arial" w:hAnsi="Arial"/>
        </w:rPr>
        <w:t>quity Security Instrument</w:t>
      </w:r>
      <w:r>
        <w:rPr>
          <w:rStyle w:val="t2724"/>
          <w:rFonts w:ascii="Arial" w:hAnsi="Arial"/>
        </w:rPr>
        <w:t xml:space="preserve"> must be revised by deleting the fourth sentence from the definition of “Lender,” and by adding the following sentence in its place:</w:t>
      </w:r>
    </w:p>
    <w:p w14:paraId="74436E95" w14:textId="77777777" w:rsidR="00E107D8" w:rsidRDefault="00E107D8" w:rsidP="00CA25E7">
      <w:pPr>
        <w:ind w:left="630"/>
        <w:jc w:val="both"/>
        <w:rPr>
          <w:rStyle w:val="t2724"/>
          <w:rFonts w:ascii="Arial" w:hAnsi="Arial"/>
        </w:rPr>
      </w:pPr>
    </w:p>
    <w:p w14:paraId="59F64576" w14:textId="77777777" w:rsidR="00E107D8" w:rsidRDefault="00E107D8" w:rsidP="00CA25E7">
      <w:pPr>
        <w:ind w:left="630" w:right="432"/>
        <w:jc w:val="both"/>
        <w:rPr>
          <w:rStyle w:val="t2724"/>
          <w:rFonts w:ascii="Arial" w:hAnsi="Arial"/>
        </w:rPr>
      </w:pPr>
      <w:r>
        <w:rPr>
          <w:rStyle w:val="t2724"/>
          <w:rFonts w:ascii="Arial" w:hAnsi="Arial"/>
        </w:rPr>
        <w:t>Lender includes any holder of the Note who is entitled to receive payments under the Note.</w:t>
      </w:r>
    </w:p>
    <w:p w14:paraId="57D3991B" w14:textId="77777777" w:rsidR="00E107D8" w:rsidRDefault="00E107D8" w:rsidP="00CA25E7">
      <w:pPr>
        <w:ind w:left="630"/>
        <w:jc w:val="both"/>
        <w:rPr>
          <w:rStyle w:val="t2724"/>
          <w:rFonts w:ascii="Arial" w:hAnsi="Arial"/>
        </w:rPr>
      </w:pPr>
    </w:p>
    <w:p w14:paraId="6BA58775" w14:textId="77777777" w:rsidR="00E107D8" w:rsidRDefault="00E107D8" w:rsidP="00CA25E7">
      <w:pPr>
        <w:ind w:left="630" w:hanging="630"/>
        <w:jc w:val="both"/>
        <w:rPr>
          <w:rStyle w:val="t2724"/>
          <w:rFonts w:ascii="Arial" w:hAnsi="Arial"/>
        </w:rPr>
      </w:pPr>
      <w:r>
        <w:rPr>
          <w:rStyle w:val="t2724"/>
          <w:rFonts w:ascii="Arial" w:hAnsi="Arial"/>
        </w:rPr>
        <w:t>AND, by inserting a new definition as follows:</w:t>
      </w:r>
    </w:p>
    <w:p w14:paraId="484A8DDD" w14:textId="77777777" w:rsidR="00E107D8" w:rsidRDefault="00E107D8" w:rsidP="00CA25E7">
      <w:pPr>
        <w:ind w:left="630"/>
        <w:jc w:val="both"/>
        <w:rPr>
          <w:rStyle w:val="t2724"/>
          <w:rFonts w:ascii="Arial" w:hAnsi="Arial"/>
        </w:rPr>
      </w:pPr>
    </w:p>
    <w:p w14:paraId="6F312296" w14:textId="1A77AAF3" w:rsidR="00E107D8" w:rsidRDefault="00E107D8" w:rsidP="00CA25E7">
      <w:pPr>
        <w:tabs>
          <w:tab w:val="left" w:pos="1080"/>
        </w:tabs>
        <w:ind w:left="720" w:right="432" w:hanging="288"/>
        <w:jc w:val="both"/>
        <w:rPr>
          <w:rStyle w:val="t2724"/>
          <w:rFonts w:ascii="Arial" w:hAnsi="Arial"/>
        </w:rPr>
      </w:pPr>
      <w:r>
        <w:rPr>
          <w:rStyle w:val="t2724"/>
          <w:rFonts w:ascii="Arial" w:hAnsi="Arial"/>
          <w:b/>
        </w:rPr>
        <w:t>(D) “MERS”</w:t>
      </w:r>
      <w:r>
        <w:rPr>
          <w:rStyle w:val="t2724"/>
          <w:rFonts w:ascii="Arial" w:hAnsi="Arial"/>
        </w:rPr>
        <w:t xml:space="preserve"> is Mortgage Electronic Registration Systems, Inc. MERS is a separate corporation that is acting solely as a nominee for Lender and Lender’s successors and assigns. </w:t>
      </w:r>
      <w:r w:rsidRPr="00657DEF">
        <w:rPr>
          <w:rStyle w:val="t2724"/>
          <w:rFonts w:ascii="Arial" w:hAnsi="Arial"/>
          <w:b/>
          <w:bCs/>
        </w:rPr>
        <w:t>MERS is the beneficiary under this Security Instrument.</w:t>
      </w:r>
      <w:r>
        <w:rPr>
          <w:rStyle w:val="t2724"/>
          <w:rFonts w:ascii="Arial" w:hAnsi="Arial"/>
        </w:rPr>
        <w:t xml:space="preserve"> MERS is organized and existing under the laws of Delaware, and has an address and telephone number of P.O. Box 2026, Flint, MI 48501-2026, tel. (888) 679-MERS.</w:t>
      </w:r>
    </w:p>
    <w:p w14:paraId="7BE5FE9F" w14:textId="41660B81" w:rsidR="004E5BA5" w:rsidRDefault="004E5BA5" w:rsidP="00E107D8">
      <w:pPr>
        <w:tabs>
          <w:tab w:val="left" w:pos="1080"/>
        </w:tabs>
        <w:ind w:left="432" w:right="432"/>
        <w:jc w:val="both"/>
        <w:rPr>
          <w:rStyle w:val="t2724"/>
          <w:rFonts w:ascii="Arial" w:hAnsi="Arial"/>
        </w:rPr>
      </w:pPr>
    </w:p>
    <w:p w14:paraId="1F6335A7" w14:textId="77777777" w:rsidR="004E5BA5" w:rsidRDefault="004E5BA5" w:rsidP="004E5BA5">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3C0E1213" w14:textId="77777777" w:rsidR="004E5BA5" w:rsidRDefault="004E5BA5" w:rsidP="004E5BA5">
      <w:pPr>
        <w:jc w:val="both"/>
        <w:rPr>
          <w:rStyle w:val="t2724"/>
          <w:rFonts w:ascii="Arial" w:hAnsi="Arial"/>
        </w:rPr>
      </w:pPr>
    </w:p>
    <w:p w14:paraId="02D83B8C" w14:textId="77777777" w:rsidR="004E5BA5" w:rsidRDefault="004E5BA5" w:rsidP="00CA25E7">
      <w:pPr>
        <w:ind w:left="630"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3C7118C4" w14:textId="77777777" w:rsidR="004E5BA5" w:rsidRDefault="004E5BA5" w:rsidP="00CA25E7">
      <w:pPr>
        <w:ind w:left="630"/>
        <w:jc w:val="both"/>
        <w:rPr>
          <w:rStyle w:val="t2724"/>
          <w:rFonts w:ascii="Arial" w:hAnsi="Arial"/>
        </w:rPr>
      </w:pPr>
    </w:p>
    <w:p w14:paraId="59CFE5CE" w14:textId="77777777" w:rsidR="004E5BA5" w:rsidRDefault="004E5BA5" w:rsidP="004E5BA5">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17AFEF13" w14:textId="77777777" w:rsidR="004E5BA5" w:rsidRDefault="004E5BA5" w:rsidP="004E5BA5">
      <w:pPr>
        <w:jc w:val="both"/>
        <w:rPr>
          <w:rStyle w:val="t2724"/>
          <w:rFonts w:ascii="Arial" w:hAnsi="Arial"/>
        </w:rPr>
      </w:pPr>
    </w:p>
    <w:p w14:paraId="53735A35" w14:textId="77777777" w:rsidR="004E5BA5" w:rsidRDefault="004E5BA5" w:rsidP="00CA25E7">
      <w:pPr>
        <w:ind w:left="720"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2D42384" w14:textId="77777777" w:rsidR="004E5BA5" w:rsidRDefault="004E5BA5" w:rsidP="00E107D8">
      <w:pPr>
        <w:tabs>
          <w:tab w:val="left" w:pos="1080"/>
        </w:tabs>
        <w:ind w:left="432" w:right="432"/>
        <w:jc w:val="both"/>
        <w:rPr>
          <w:rStyle w:val="t2724"/>
          <w:rFonts w:ascii="Arial" w:hAnsi="Arial"/>
        </w:rPr>
      </w:pPr>
    </w:p>
    <w:p w14:paraId="13F83298" w14:textId="77777777" w:rsidR="00E107D8" w:rsidRDefault="00E107D8" w:rsidP="000742D9">
      <w:pPr>
        <w:pStyle w:val="BodyText"/>
        <w:keepNext/>
        <w:tabs>
          <w:tab w:val="left" w:pos="1080"/>
        </w:tabs>
        <w:ind w:left="720"/>
        <w:rPr>
          <w:rFonts w:ascii="Arial" w:hAnsi="Arial" w:cs="Arial"/>
          <w:szCs w:val="24"/>
        </w:rPr>
      </w:pPr>
    </w:p>
    <w:p w14:paraId="6499EB18" w14:textId="77777777" w:rsidR="00CD650E" w:rsidRDefault="00CD650E" w:rsidP="00584F5D">
      <w:pPr>
        <w:pStyle w:val="BodyText"/>
        <w:keepNext/>
        <w:tabs>
          <w:tab w:val="left" w:pos="1080"/>
        </w:tabs>
        <w:ind w:left="720"/>
        <w:rPr>
          <w:rFonts w:ascii="Arial" w:hAnsi="Arial" w:cs="Arial"/>
          <w:spacing w:val="-8"/>
        </w:rPr>
      </w:pPr>
    </w:p>
    <w:p w14:paraId="7FDCDEBE" w14:textId="77777777" w:rsidR="00CD650E" w:rsidRPr="00584F5D" w:rsidRDefault="00CD650E" w:rsidP="00D6359D">
      <w:pPr>
        <w:jc w:val="center"/>
        <w:rPr>
          <w:rFonts w:ascii="Arial" w:hAnsi="Arial" w:cs="Arial"/>
          <w:szCs w:val="24"/>
        </w:rPr>
      </w:pPr>
    </w:p>
    <w:p w14:paraId="575A15DC" w14:textId="77777777" w:rsidR="00584F5D" w:rsidRPr="00584F5D" w:rsidRDefault="00584F5D">
      <w:pPr>
        <w:jc w:val="both"/>
        <w:rPr>
          <w:rFonts w:ascii="Arial" w:hAnsi="Arial"/>
          <w:b/>
          <w:u w:val="single"/>
        </w:rPr>
      </w:pPr>
    </w:p>
    <w:p w14:paraId="3605760F" w14:textId="77777777" w:rsidR="00584F5D" w:rsidRPr="00584F5D" w:rsidRDefault="00584F5D">
      <w:pPr>
        <w:jc w:val="both"/>
        <w:rPr>
          <w:rFonts w:ascii="Arial" w:hAnsi="Arial"/>
          <w:b/>
        </w:rPr>
      </w:pPr>
    </w:p>
    <w:sectPr w:rsidR="00584F5D" w:rsidRPr="00584F5D">
      <w:headerReference w:type="default" r:id="rId8"/>
      <w:footerReference w:type="default" r:id="rId9"/>
      <w:pgSz w:w="12240" w:h="15840"/>
      <w:pgMar w:top="720"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8E88" w14:textId="77777777" w:rsidR="00CB1CA2" w:rsidRDefault="00CB1CA2">
      <w:r>
        <w:separator/>
      </w:r>
    </w:p>
  </w:endnote>
  <w:endnote w:type="continuationSeparator" w:id="0">
    <w:p w14:paraId="210DDA7F" w14:textId="77777777" w:rsidR="00CB1CA2" w:rsidRDefault="00CB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C2FE" w14:textId="66DB50C5" w:rsidR="00486D9F" w:rsidRDefault="00CA25E7">
    <w:pPr>
      <w:pStyle w:val="Footer"/>
      <w:tabs>
        <w:tab w:val="clear" w:pos="8640"/>
        <w:tab w:val="right" w:pos="9348"/>
      </w:tabs>
      <w:rPr>
        <w:rFonts w:ascii="Arial" w:hAnsi="Arial"/>
        <w:b/>
        <w:sz w:val="18"/>
      </w:rPr>
    </w:pPr>
    <w:r>
      <w:rPr>
        <w:rFonts w:ascii="Arial" w:hAnsi="Arial"/>
        <w:b/>
        <w:sz w:val="20"/>
      </w:rPr>
      <w:t>March</w:t>
    </w:r>
    <w:r w:rsidR="005D4094">
      <w:rPr>
        <w:rFonts w:ascii="Arial" w:hAnsi="Arial"/>
        <w:b/>
        <w:sz w:val="20"/>
      </w:rPr>
      <w:t xml:space="preserve"> 202</w:t>
    </w:r>
    <w:r>
      <w:rPr>
        <w:rFonts w:ascii="Arial" w:hAnsi="Arial"/>
        <w:b/>
        <w:sz w:val="20"/>
      </w:rPr>
      <w:t>3</w:t>
    </w:r>
    <w:r w:rsidR="00486D9F">
      <w:rPr>
        <w:rFonts w:ascii="Arial" w:hAnsi="Arial"/>
        <w:b/>
        <w:sz w:val="18"/>
      </w:rPr>
      <w:tab/>
    </w:r>
    <w:r w:rsidR="00486D9F">
      <w:rPr>
        <w:rFonts w:ascii="Arial" w:hAnsi="Arial"/>
        <w:b/>
        <w:sz w:val="18"/>
      </w:rPr>
      <w:tab/>
      <w:t xml:space="preserve">Page </w:t>
    </w:r>
    <w:r w:rsidR="00486D9F">
      <w:rPr>
        <w:rStyle w:val="PageNumber"/>
        <w:rFonts w:ascii="Arial" w:hAnsi="Arial"/>
        <w:b/>
        <w:sz w:val="18"/>
      </w:rPr>
      <w:fldChar w:fldCharType="begin"/>
    </w:r>
    <w:r w:rsidR="00486D9F">
      <w:rPr>
        <w:rStyle w:val="PageNumber"/>
        <w:rFonts w:ascii="Arial" w:hAnsi="Arial"/>
        <w:b/>
        <w:sz w:val="18"/>
      </w:rPr>
      <w:instrText xml:space="preserve"> PAGE </w:instrText>
    </w:r>
    <w:r w:rsidR="00486D9F">
      <w:rPr>
        <w:rStyle w:val="PageNumber"/>
        <w:rFonts w:ascii="Arial" w:hAnsi="Arial"/>
        <w:b/>
        <w:sz w:val="18"/>
      </w:rPr>
      <w:fldChar w:fldCharType="separate"/>
    </w:r>
    <w:r w:rsidR="00CB06AE">
      <w:rPr>
        <w:rStyle w:val="PageNumber"/>
        <w:rFonts w:ascii="Arial" w:hAnsi="Arial"/>
        <w:b/>
        <w:noProof/>
        <w:sz w:val="18"/>
      </w:rPr>
      <w:t>1</w:t>
    </w:r>
    <w:r w:rsidR="00486D9F">
      <w:rPr>
        <w:rStyle w:val="PageNumber"/>
        <w:rFonts w:ascii="Arial" w:hAnsi="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28F5" w14:textId="77777777" w:rsidR="00CB1CA2" w:rsidRDefault="00CB1CA2">
      <w:r>
        <w:separator/>
      </w:r>
    </w:p>
  </w:footnote>
  <w:footnote w:type="continuationSeparator" w:id="0">
    <w:p w14:paraId="3FA6D9A8" w14:textId="77777777" w:rsidR="00CB1CA2" w:rsidRDefault="00CB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2B65" w14:textId="77777777" w:rsidR="00486D9F" w:rsidRDefault="00486D9F">
    <w:pPr>
      <w:pStyle w:val="Header"/>
      <w:jc w:val="center"/>
      <w:rPr>
        <w:rFonts w:ascii="Arial" w:hAnsi="Arial"/>
        <w:b/>
        <w:sz w:val="40"/>
      </w:rPr>
    </w:pPr>
    <w:r>
      <w:rPr>
        <w:rFonts w:ascii="Arial" w:hAnsi="Arial"/>
        <w:b/>
        <w:sz w:val="40"/>
      </w:rPr>
      <w:t>Federal Home Loan Mortgage Corporation</w:t>
    </w:r>
  </w:p>
  <w:p w14:paraId="1B9C8B20" w14:textId="77777777" w:rsidR="00486D9F" w:rsidRDefault="00486D9F">
    <w:pPr>
      <w:pStyle w:val="Header"/>
      <w:jc w:val="center"/>
      <w:rPr>
        <w:rFonts w:ascii="Arial" w:hAnsi="Arial"/>
        <w:b/>
        <w:sz w:val="40"/>
      </w:rPr>
    </w:pPr>
    <w:r>
      <w:rPr>
        <w:rFonts w:ascii="Arial" w:hAnsi="Arial"/>
        <w:b/>
        <w:sz w:val="40"/>
      </w:rPr>
      <w:t xml:space="preserve">Authorized Changes for </w:t>
    </w:r>
    <w:r w:rsidR="00584F5D">
      <w:rPr>
        <w:rFonts w:ascii="Arial" w:hAnsi="Arial"/>
        <w:b/>
        <w:sz w:val="40"/>
      </w:rPr>
      <w:t>Texas Home Equity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693"/>
    <w:multiLevelType w:val="hybridMultilevel"/>
    <w:tmpl w:val="2324915A"/>
    <w:lvl w:ilvl="0" w:tplc="6B0C0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640AB"/>
    <w:multiLevelType w:val="multilevel"/>
    <w:tmpl w:val="288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2422038">
    <w:abstractNumId w:val="0"/>
  </w:num>
  <w:num w:numId="2" w16cid:durableId="1907110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46"/>
    <w:rsid w:val="00011AD7"/>
    <w:rsid w:val="00031582"/>
    <w:rsid w:val="00062416"/>
    <w:rsid w:val="000742D9"/>
    <w:rsid w:val="00087C67"/>
    <w:rsid w:val="00091193"/>
    <w:rsid w:val="000A724F"/>
    <w:rsid w:val="000E2C39"/>
    <w:rsid w:val="001610D8"/>
    <w:rsid w:val="001B142B"/>
    <w:rsid w:val="002138B3"/>
    <w:rsid w:val="002306F7"/>
    <w:rsid w:val="00235E97"/>
    <w:rsid w:val="002417B3"/>
    <w:rsid w:val="00251D2F"/>
    <w:rsid w:val="002834F7"/>
    <w:rsid w:val="00293733"/>
    <w:rsid w:val="002A7EAB"/>
    <w:rsid w:val="003307D8"/>
    <w:rsid w:val="00344B61"/>
    <w:rsid w:val="003F5DEC"/>
    <w:rsid w:val="00417048"/>
    <w:rsid w:val="0043686B"/>
    <w:rsid w:val="00455A65"/>
    <w:rsid w:val="00486D28"/>
    <w:rsid w:val="00486D9F"/>
    <w:rsid w:val="004A28DD"/>
    <w:rsid w:val="004E5BA5"/>
    <w:rsid w:val="00584F5D"/>
    <w:rsid w:val="005B334B"/>
    <w:rsid w:val="005D4094"/>
    <w:rsid w:val="006419C8"/>
    <w:rsid w:val="006C29C7"/>
    <w:rsid w:val="006D05CF"/>
    <w:rsid w:val="00711082"/>
    <w:rsid w:val="00781346"/>
    <w:rsid w:val="00782DF9"/>
    <w:rsid w:val="00785C91"/>
    <w:rsid w:val="007B5EEE"/>
    <w:rsid w:val="007C7CC0"/>
    <w:rsid w:val="007F3264"/>
    <w:rsid w:val="00825D93"/>
    <w:rsid w:val="008A6A52"/>
    <w:rsid w:val="008D5506"/>
    <w:rsid w:val="0098668B"/>
    <w:rsid w:val="00995FE9"/>
    <w:rsid w:val="009C17B2"/>
    <w:rsid w:val="009D6182"/>
    <w:rsid w:val="009E31FD"/>
    <w:rsid w:val="009E4F58"/>
    <w:rsid w:val="00A137A1"/>
    <w:rsid w:val="00A34E77"/>
    <w:rsid w:val="00A94960"/>
    <w:rsid w:val="00AC4975"/>
    <w:rsid w:val="00B01AA0"/>
    <w:rsid w:val="00B57440"/>
    <w:rsid w:val="00B63BA8"/>
    <w:rsid w:val="00B978AA"/>
    <w:rsid w:val="00C055E1"/>
    <w:rsid w:val="00C11C64"/>
    <w:rsid w:val="00C70FBB"/>
    <w:rsid w:val="00CA25E7"/>
    <w:rsid w:val="00CB06AE"/>
    <w:rsid w:val="00CB1CA2"/>
    <w:rsid w:val="00CD650E"/>
    <w:rsid w:val="00CF4EAA"/>
    <w:rsid w:val="00CF5E05"/>
    <w:rsid w:val="00D11F4D"/>
    <w:rsid w:val="00D241F5"/>
    <w:rsid w:val="00D51129"/>
    <w:rsid w:val="00D62B42"/>
    <w:rsid w:val="00D6359D"/>
    <w:rsid w:val="00D726B6"/>
    <w:rsid w:val="00D7577E"/>
    <w:rsid w:val="00DA22BA"/>
    <w:rsid w:val="00DA2B91"/>
    <w:rsid w:val="00E107D8"/>
    <w:rsid w:val="00E37B25"/>
    <w:rsid w:val="00E82D4B"/>
    <w:rsid w:val="00EA4BC4"/>
    <w:rsid w:val="00F02BC1"/>
    <w:rsid w:val="00F32AB8"/>
    <w:rsid w:val="00F3434C"/>
    <w:rsid w:val="00FA3A5A"/>
    <w:rsid w:val="00FC241C"/>
    <w:rsid w:val="00FD4A70"/>
    <w:rsid w:val="00FE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B3A3B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pBdr>
        <w:bottom w:val="single" w:sz="12" w:space="1" w:color="auto"/>
      </w:pBdr>
      <w:spacing w:after="180"/>
      <w:jc w:val="center"/>
      <w:outlineLvl w:val="0"/>
    </w:pPr>
    <w:rPr>
      <w:rFonts w:ascii="Arial" w:hAnsi="Arial"/>
      <w:b/>
      <w:sz w:val="28"/>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pBdr>
        <w:bottom w:val="single" w:sz="12" w:space="1" w:color="auto"/>
      </w:pBdr>
      <w:tabs>
        <w:tab w:val="left" w:pos="720"/>
      </w:tabs>
      <w:jc w:val="center"/>
      <w:outlineLvl w:val="2"/>
    </w:pPr>
    <w:rPr>
      <w:rFonts w:ascii="Arial" w:hAnsi="Arial"/>
      <w:b/>
    </w:rPr>
  </w:style>
  <w:style w:type="paragraph" w:styleId="Heading4">
    <w:name w:val="heading 4"/>
    <w:basedOn w:val="Normal"/>
    <w:next w:val="Normal"/>
    <w:qFormat/>
    <w:pPr>
      <w:keepNext/>
      <w:pBdr>
        <w:bottom w:val="single" w:sz="12" w:space="1" w:color="auto"/>
      </w:pBdr>
      <w:tabs>
        <w:tab w:val="left" w:pos="720"/>
      </w:tabs>
      <w:spacing w:after="120"/>
      <w:ind w:right="720"/>
      <w:jc w:val="center"/>
      <w:outlineLvl w:val="3"/>
    </w:pPr>
    <w:rPr>
      <w:rFonts w:ascii="Arial" w:hAnsi="Arial"/>
      <w:b/>
      <w:caps/>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tabs>
        <w:tab w:val="left" w:pos="720"/>
      </w:tabs>
      <w:ind w:left="432"/>
      <w:jc w:val="both"/>
      <w:outlineLvl w:val="6"/>
    </w:pPr>
    <w:rPr>
      <w:rFonts w:ascii="Arial" w:hAnsi="Arial"/>
      <w:b/>
      <w:sz w:val="22"/>
    </w:rPr>
  </w:style>
  <w:style w:type="paragraph" w:styleId="Heading8">
    <w:name w:val="heading 8"/>
    <w:basedOn w:val="Normal"/>
    <w:next w:val="Normal"/>
    <w:qFormat/>
    <w:pPr>
      <w:keepNext/>
      <w:jc w:val="both"/>
      <w:outlineLvl w:val="7"/>
    </w:pPr>
    <w:rPr>
      <w:b/>
      <w:sz w:val="22"/>
      <w:u w:val="single"/>
    </w:rPr>
  </w:style>
  <w:style w:type="paragraph" w:styleId="Heading9">
    <w:name w:val="heading 9"/>
    <w:basedOn w:val="Normal"/>
    <w:next w:val="Normal"/>
    <w:qFormat/>
    <w:pPr>
      <w:keepNext/>
      <w:spacing w:before="120"/>
      <w:ind w:left="720" w:right="720"/>
      <w:jc w:val="center"/>
      <w:outlineLvl w:val="8"/>
    </w:pPr>
    <w:rPr>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t2795">
    <w:name w:val="t2795"/>
    <w:basedOn w:val="DefaultParagraphFont"/>
  </w:style>
  <w:style w:type="character" w:customStyle="1" w:styleId="t2792">
    <w:name w:val="t2792"/>
    <w:basedOn w:val="DefaultParagraphFont"/>
  </w:style>
  <w:style w:type="character" w:styleId="PageNumber">
    <w:name w:val="page number"/>
    <w:basedOn w:val="DefaultParagraphFont"/>
  </w:style>
  <w:style w:type="paragraph" w:styleId="BodyText2">
    <w:name w:val="Body Text 2"/>
    <w:basedOn w:val="Normal"/>
    <w:pPr>
      <w:jc w:val="both"/>
    </w:pPr>
    <w:rPr>
      <w:sz w:val="22"/>
    </w:rPr>
  </w:style>
  <w:style w:type="paragraph" w:styleId="BodyTextIndent3">
    <w:name w:val="Body Text Indent 3"/>
    <w:basedOn w:val="Normal"/>
    <w:pPr>
      <w:tabs>
        <w:tab w:val="left" w:pos="720"/>
      </w:tabs>
      <w:ind w:left="432"/>
      <w:jc w:val="both"/>
    </w:pPr>
  </w:style>
  <w:style w:type="paragraph" w:styleId="BlockText">
    <w:name w:val="Block Text"/>
    <w:basedOn w:val="Normal"/>
    <w:pPr>
      <w:tabs>
        <w:tab w:val="left" w:pos="720"/>
      </w:tabs>
      <w:spacing w:before="120"/>
      <w:ind w:left="720" w:right="720"/>
      <w:jc w:val="both"/>
    </w:pPr>
    <w:rPr>
      <w:rFonts w:ascii="Arial" w:hAnsi="Arial"/>
    </w:rPr>
  </w:style>
  <w:style w:type="character" w:customStyle="1" w:styleId="t3401">
    <w:name w:val="t3401"/>
    <w:basedOn w:val="DefaultParagraphFont"/>
  </w:style>
  <w:style w:type="paragraph" w:styleId="BodyText">
    <w:name w:val="Body Text"/>
    <w:basedOn w:val="Normal"/>
    <w:pPr>
      <w:jc w:val="both"/>
    </w:pPr>
  </w:style>
  <w:style w:type="character" w:customStyle="1" w:styleId="t2799">
    <w:name w:val="t2799"/>
    <w:basedOn w:val="DefaultParagraphFont"/>
  </w:style>
  <w:style w:type="paragraph" w:styleId="BodyText3">
    <w:name w:val="Body Text 3"/>
    <w:basedOn w:val="Normal"/>
    <w:pPr>
      <w:tabs>
        <w:tab w:val="left" w:pos="720"/>
      </w:tabs>
      <w:ind w:right="720"/>
      <w:jc w:val="both"/>
    </w:pPr>
    <w:rPr>
      <w:rFonts w:ascii="Arial" w:hAnsi="Arial"/>
      <w:b/>
      <w:i/>
      <w:sz w:val="18"/>
    </w:rPr>
  </w:style>
  <w:style w:type="paragraph" w:styleId="BalloonText">
    <w:name w:val="Balloon Text"/>
    <w:basedOn w:val="Normal"/>
    <w:semiHidden/>
    <w:rsid w:val="00EA4BC4"/>
    <w:rPr>
      <w:rFonts w:ascii="Tahoma" w:hAnsi="Tahoma" w:cs="Tahoma"/>
      <w:sz w:val="16"/>
      <w:szCs w:val="16"/>
    </w:rPr>
  </w:style>
  <w:style w:type="paragraph" w:styleId="NormalWeb">
    <w:name w:val="Normal (Web)"/>
    <w:basedOn w:val="Normal"/>
    <w:uiPriority w:val="99"/>
    <w:unhideWhenUsed/>
    <w:rsid w:val="00031582"/>
    <w:pPr>
      <w:overflowPunct/>
      <w:autoSpaceDE/>
      <w:autoSpaceDN/>
      <w:adjustRightInd/>
      <w:spacing w:before="100" w:beforeAutospacing="1" w:after="100" w:afterAutospacing="1"/>
      <w:textAlignment w:val="auto"/>
    </w:pPr>
    <w:rPr>
      <w:szCs w:val="24"/>
    </w:rPr>
  </w:style>
  <w:style w:type="character" w:styleId="CommentReference">
    <w:name w:val="annotation reference"/>
    <w:basedOn w:val="DefaultParagraphFont"/>
    <w:rsid w:val="000742D9"/>
    <w:rPr>
      <w:sz w:val="16"/>
      <w:szCs w:val="16"/>
    </w:rPr>
  </w:style>
  <w:style w:type="paragraph" w:styleId="CommentText">
    <w:name w:val="annotation text"/>
    <w:basedOn w:val="Normal"/>
    <w:link w:val="CommentTextChar"/>
    <w:rsid w:val="000742D9"/>
    <w:rPr>
      <w:sz w:val="20"/>
    </w:rPr>
  </w:style>
  <w:style w:type="character" w:customStyle="1" w:styleId="CommentTextChar">
    <w:name w:val="Comment Text Char"/>
    <w:basedOn w:val="DefaultParagraphFont"/>
    <w:link w:val="CommentText"/>
    <w:rsid w:val="000742D9"/>
  </w:style>
  <w:style w:type="paragraph" w:styleId="CommentSubject">
    <w:name w:val="annotation subject"/>
    <w:basedOn w:val="CommentText"/>
    <w:next w:val="CommentText"/>
    <w:link w:val="CommentSubjectChar"/>
    <w:rsid w:val="000742D9"/>
    <w:rPr>
      <w:b/>
      <w:bCs/>
    </w:rPr>
  </w:style>
  <w:style w:type="character" w:customStyle="1" w:styleId="CommentSubjectChar">
    <w:name w:val="Comment Subject Char"/>
    <w:basedOn w:val="CommentTextChar"/>
    <w:link w:val="CommentSubject"/>
    <w:rsid w:val="000742D9"/>
    <w:rPr>
      <w:b/>
      <w:bCs/>
    </w:rPr>
  </w:style>
  <w:style w:type="character" w:customStyle="1" w:styleId="t2724">
    <w:name w:val="t2724"/>
    <w:basedOn w:val="DefaultParagraphFont"/>
    <w:rsid w:val="00E1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757">
      <w:bodyDiv w:val="1"/>
      <w:marLeft w:val="0"/>
      <w:marRight w:val="300"/>
      <w:marTop w:val="150"/>
      <w:marBottom w:val="300"/>
      <w:divBdr>
        <w:top w:val="none" w:sz="0" w:space="0" w:color="auto"/>
        <w:left w:val="none" w:sz="0" w:space="0" w:color="auto"/>
        <w:bottom w:val="none" w:sz="0" w:space="0" w:color="auto"/>
        <w:right w:val="none" w:sz="0" w:space="0" w:color="auto"/>
      </w:divBdr>
      <w:divsChild>
        <w:div w:id="830560796">
          <w:marLeft w:val="75"/>
          <w:marRight w:val="75"/>
          <w:marTop w:val="150"/>
          <w:marBottom w:val="300"/>
          <w:divBdr>
            <w:top w:val="none" w:sz="0" w:space="0" w:color="auto"/>
            <w:left w:val="none" w:sz="0" w:space="0" w:color="auto"/>
            <w:bottom w:val="none" w:sz="0" w:space="0" w:color="auto"/>
            <w:right w:val="none" w:sz="0" w:space="0" w:color="auto"/>
          </w:divBdr>
          <w:divsChild>
            <w:div w:id="279609037">
              <w:marLeft w:val="0"/>
              <w:marRight w:val="0"/>
              <w:marTop w:val="0"/>
              <w:marBottom w:val="0"/>
              <w:divBdr>
                <w:top w:val="single" w:sz="2" w:space="0" w:color="FF0000"/>
                <w:left w:val="single" w:sz="2" w:space="0" w:color="FF0000"/>
                <w:bottom w:val="single" w:sz="2" w:space="0" w:color="FF0000"/>
                <w:right w:val="single" w:sz="2" w:space="0" w:color="FF0000"/>
              </w:divBdr>
              <w:divsChild>
                <w:div w:id="642587814">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sChild>
    </w:div>
    <w:div w:id="379329218">
      <w:bodyDiv w:val="1"/>
      <w:marLeft w:val="0"/>
      <w:marRight w:val="0"/>
      <w:marTop w:val="0"/>
      <w:marBottom w:val="0"/>
      <w:divBdr>
        <w:top w:val="none" w:sz="0" w:space="0" w:color="auto"/>
        <w:left w:val="none" w:sz="0" w:space="0" w:color="auto"/>
        <w:bottom w:val="none" w:sz="0" w:space="0" w:color="auto"/>
        <w:right w:val="none" w:sz="0" w:space="0" w:color="auto"/>
      </w:divBdr>
    </w:div>
    <w:div w:id="1412973299">
      <w:bodyDiv w:val="1"/>
      <w:marLeft w:val="0"/>
      <w:marRight w:val="300"/>
      <w:marTop w:val="150"/>
      <w:marBottom w:val="300"/>
      <w:divBdr>
        <w:top w:val="none" w:sz="0" w:space="0" w:color="auto"/>
        <w:left w:val="none" w:sz="0" w:space="0" w:color="auto"/>
        <w:bottom w:val="none" w:sz="0" w:space="0" w:color="auto"/>
        <w:right w:val="none" w:sz="0" w:space="0" w:color="auto"/>
      </w:divBdr>
      <w:divsChild>
        <w:div w:id="1408114492">
          <w:marLeft w:val="75"/>
          <w:marRight w:val="75"/>
          <w:marTop w:val="150"/>
          <w:marBottom w:val="300"/>
          <w:divBdr>
            <w:top w:val="none" w:sz="0" w:space="0" w:color="auto"/>
            <w:left w:val="none" w:sz="0" w:space="0" w:color="auto"/>
            <w:bottom w:val="none" w:sz="0" w:space="0" w:color="auto"/>
            <w:right w:val="none" w:sz="0" w:space="0" w:color="auto"/>
          </w:divBdr>
          <w:divsChild>
            <w:div w:id="1673293357">
              <w:marLeft w:val="0"/>
              <w:marRight w:val="0"/>
              <w:marTop w:val="0"/>
              <w:marBottom w:val="0"/>
              <w:divBdr>
                <w:top w:val="single" w:sz="2" w:space="0" w:color="FF0000"/>
                <w:left w:val="single" w:sz="2" w:space="0" w:color="FF0000"/>
                <w:bottom w:val="single" w:sz="2" w:space="0" w:color="FF0000"/>
                <w:right w:val="single" w:sz="2" w:space="0" w:color="FF0000"/>
              </w:divBdr>
              <w:divsChild>
                <w:div w:id="809398422">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sChild>
    </w:div>
    <w:div w:id="1573739603">
      <w:bodyDiv w:val="1"/>
      <w:marLeft w:val="0"/>
      <w:marRight w:val="0"/>
      <w:marTop w:val="0"/>
      <w:marBottom w:val="0"/>
      <w:divBdr>
        <w:top w:val="none" w:sz="0" w:space="0" w:color="auto"/>
        <w:left w:val="none" w:sz="0" w:space="0" w:color="auto"/>
        <w:bottom w:val="none" w:sz="0" w:space="0" w:color="auto"/>
        <w:right w:val="none" w:sz="0" w:space="0" w:color="auto"/>
      </w:divBdr>
    </w:div>
    <w:div w:id="1598563605">
      <w:bodyDiv w:val="1"/>
      <w:marLeft w:val="0"/>
      <w:marRight w:val="300"/>
      <w:marTop w:val="150"/>
      <w:marBottom w:val="300"/>
      <w:divBdr>
        <w:top w:val="none" w:sz="0" w:space="0" w:color="auto"/>
        <w:left w:val="none" w:sz="0" w:space="0" w:color="auto"/>
        <w:bottom w:val="none" w:sz="0" w:space="0" w:color="auto"/>
        <w:right w:val="none" w:sz="0" w:space="0" w:color="auto"/>
      </w:divBdr>
      <w:divsChild>
        <w:div w:id="163012197">
          <w:marLeft w:val="75"/>
          <w:marRight w:val="75"/>
          <w:marTop w:val="150"/>
          <w:marBottom w:val="300"/>
          <w:divBdr>
            <w:top w:val="none" w:sz="0" w:space="0" w:color="auto"/>
            <w:left w:val="none" w:sz="0" w:space="0" w:color="auto"/>
            <w:bottom w:val="none" w:sz="0" w:space="0" w:color="auto"/>
            <w:right w:val="none" w:sz="0" w:space="0" w:color="auto"/>
          </w:divBdr>
          <w:divsChild>
            <w:div w:id="1347243340">
              <w:marLeft w:val="0"/>
              <w:marRight w:val="0"/>
              <w:marTop w:val="0"/>
              <w:marBottom w:val="0"/>
              <w:divBdr>
                <w:top w:val="single" w:sz="2" w:space="0" w:color="FF0000"/>
                <w:left w:val="single" w:sz="2" w:space="0" w:color="FF0000"/>
                <w:bottom w:val="single" w:sz="2" w:space="0" w:color="FF0000"/>
                <w:right w:val="single" w:sz="2" w:space="0" w:color="FF0000"/>
              </w:divBdr>
              <w:divsChild>
                <w:div w:id="1480346094">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sChild>
    </w:div>
    <w:div w:id="1601766006">
      <w:bodyDiv w:val="1"/>
      <w:marLeft w:val="0"/>
      <w:marRight w:val="0"/>
      <w:marTop w:val="0"/>
      <w:marBottom w:val="0"/>
      <w:divBdr>
        <w:top w:val="none" w:sz="0" w:space="0" w:color="auto"/>
        <w:left w:val="none" w:sz="0" w:space="0" w:color="auto"/>
        <w:bottom w:val="none" w:sz="0" w:space="0" w:color="auto"/>
        <w:right w:val="none" w:sz="0" w:space="0" w:color="auto"/>
      </w:divBdr>
    </w:div>
    <w:div w:id="19018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E3FC-DEC2-49AF-B1C0-50835E24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2023-02-22T15:15:00Z</dcterms:created>
  <dcterms:modified xsi:type="dcterms:W3CDTF">2023-02-22T15:16:00Z</dcterms:modified>
</cp:coreProperties>
</file>